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D4589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0A63E0E5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tbl>
      <w:tblPr>
        <w:tblStyle w:val="3"/>
        <w:tblW w:w="10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0860"/>
      </w:tblGrid>
      <w:tr w14:paraId="6448F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62" w:hRule="atLeast"/>
        </w:trPr>
        <w:tc>
          <w:tcPr>
            <w:tcW w:w="10860" w:type="dxa"/>
          </w:tcPr>
          <w:p w14:paraId="1B7FEF59">
            <w:pPr>
              <w:keepNext w:val="0"/>
              <w:keepLines w:val="0"/>
              <w:widowControl/>
              <w:suppressLineNumbers w:val="0"/>
              <w:jc w:val="left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5BB798A1">
            <w:pPr>
              <w:keepNext w:val="0"/>
              <w:keepLines w:val="0"/>
              <w:widowControl/>
              <w:suppressLineNumbers w:val="0"/>
              <w:jc w:val="left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DCC7427">
            <w:pPr>
              <w:keepNext w:val="0"/>
              <w:keepLines w:val="0"/>
              <w:widowControl/>
              <w:suppressLineNumbers w:val="0"/>
              <w:jc w:val="left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1E33BBBB">
            <w:pPr>
              <w:keepNext w:val="0"/>
              <w:keepLines w:val="0"/>
              <w:widowControl/>
              <w:suppressLineNumbers w:val="0"/>
              <w:jc w:val="left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4102735</wp:posOffset>
                  </wp:positionH>
                  <wp:positionV relativeFrom="paragraph">
                    <wp:posOffset>51435</wp:posOffset>
                  </wp:positionV>
                  <wp:extent cx="1097280" cy="1000760"/>
                  <wp:effectExtent l="0" t="0" r="7620" b="889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0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58DF183">
            <w:pPr>
              <w:keepNext w:val="0"/>
              <w:keepLines w:val="0"/>
              <w:widowControl/>
              <w:suppressLineNumbers w:val="0"/>
              <w:jc w:val="left"/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制造商：唐河县丰隆电子科技有限公司</w:t>
            </w:r>
          </w:p>
          <w:p w14:paraId="05758259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21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制造商</w:t>
            </w:r>
            <w:r>
              <w:rPr>
                <w:rFonts w:ascii="楷体_GB2312" w:hAnsi="楷体_GB2312" w:eastAsia="楷体_GB2312" w:cs="楷体_GB2312"/>
                <w:color w:val="000000"/>
                <w:kern w:val="0"/>
                <w:sz w:val="24"/>
                <w:szCs w:val="24"/>
                <w:lang w:val="en-US" w:eastAsia="zh-CN" w:bidi="ar"/>
              </w:rPr>
              <w:t>地址：河南省南阳市唐河县上屯镇丁岗街4号</w:t>
            </w:r>
          </w:p>
          <w:p w14:paraId="51ED910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电池型号：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FL6020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40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，</w:t>
            </w:r>
          </w:p>
          <w:p w14:paraId="60D75CD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标称电压：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3.7V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，</w:t>
            </w:r>
          </w:p>
          <w:p w14:paraId="0A899B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额定容量：4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00mAh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，</w:t>
            </w:r>
          </w:p>
          <w:p w14:paraId="429F0B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5599430</wp:posOffset>
                  </wp:positionH>
                  <wp:positionV relativeFrom="paragraph">
                    <wp:posOffset>27940</wp:posOffset>
                  </wp:positionV>
                  <wp:extent cx="1038225" cy="1416685"/>
                  <wp:effectExtent l="0" t="0" r="9525" b="1206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41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额定能量：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Wh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；</w:t>
            </w:r>
          </w:p>
          <w:p w14:paraId="0EC4ED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充电限制电压：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4.2V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，</w:t>
            </w:r>
          </w:p>
          <w:p w14:paraId="1415671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单个电池重量约：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val="en-US" w:eastAsia="zh-CN" w:bidi="ar"/>
              </w:rPr>
              <w:t>8.850g</w:t>
            </w:r>
          </w:p>
          <w:p w14:paraId="78D7D89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生产日期：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2026年8月</w:t>
            </w:r>
          </w:p>
          <w:p w14:paraId="2AB5C979">
            <w:pPr>
              <w:rPr>
                <w:rFonts w:hint="eastAsia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4"/>
                <w:lang w:val="en-US" w:eastAsia="zh-CN" w:bidi="ar"/>
              </w:rPr>
              <w:t>认证</w:t>
            </w:r>
            <w:r>
              <w:rPr>
                <w:rFonts w:hint="eastAsia"/>
                <w:lang w:val="en-US" w:eastAsia="zh-CN"/>
              </w:rPr>
              <w:t>：全套NU38.3、IEC62133、CCC、、CE、UL、电池法，</w:t>
            </w:r>
          </w:p>
          <w:p w14:paraId="4D96BC0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化学成分：NCM</w:t>
            </w:r>
          </w:p>
          <w:p w14:paraId="455EF451">
            <w:r>
              <w:rPr>
                <w:rFonts w:hint="eastAsia"/>
              </w:rPr>
              <w:t>电池中存在的有害物质：CR（VI）、PBBs、PBDEs、DBP、DIBP、BBP、DEHP 均≤0.1%</w:t>
            </w:r>
          </w:p>
          <w:p w14:paraId="04812E1D">
            <w:r>
              <w:rPr>
                <w:rFonts w:hint="eastAsia"/>
              </w:rPr>
              <w:t>电池可用灭火剂：水基灭火器、D类金属干粉灭火器、ABC干粉灭火器</w:t>
            </w:r>
          </w:p>
          <w:p w14:paraId="652D95B4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电池中存在浓度超过0.1%的关键原材料：LiNiCoMnO₂、LiMn2O4、C、LiPF₆、Cu、Al、N、PE、C₂H₂F₂、C₁₂H₁₄、C₃H₄O₃、C₃H₆O₃、C₄H₈O₃</w:t>
            </w:r>
          </w:p>
          <w:p w14:paraId="370AEF3A">
            <w:pPr>
              <w:rPr>
                <w:rFonts w:hint="eastAsia"/>
                <w:lang w:val="en-US" w:eastAsia="zh-CN"/>
              </w:rPr>
            </w:pPr>
          </w:p>
          <w:p w14:paraId="050E0897">
            <w:pPr>
              <w:keepNext w:val="0"/>
              <w:keepLines w:val="0"/>
              <w:widowControl/>
              <w:suppressLineNumbers w:val="0"/>
              <w:jc w:val="left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</w:p>
        </w:tc>
      </w:tr>
    </w:tbl>
    <w:p w14:paraId="7D0BC0E5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28763A13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068DE151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70CE6A88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310335F6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1F8328B5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79525174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6072F1C4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35DC3EAC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19E4C727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5F431BB9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12C2868E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671FCB3E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7433299D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07306C41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5C9FE9E4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7DC92829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21E6A278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153F2721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0EFD4349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1E71A9FA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11DF274F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6505E148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  <w:bookmarkStart w:id="0" w:name="_GoBack"/>
      <w:bookmarkEnd w:id="0"/>
    </w:p>
    <w:p w14:paraId="2F4FE475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376C7B95">
      <w:pPr>
        <w:keepNext w:val="0"/>
        <w:keepLines w:val="0"/>
        <w:widowControl/>
        <w:suppressLineNumbers w:val="0"/>
        <w:jc w:val="left"/>
      </w:pPr>
      <w:r>
        <w:rPr>
          <w:rFonts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Waste batteries contain heavy metals and harmful chemicals such as lead, mercury, cadmium, lithium, </w:t>
      </w:r>
    </w:p>
    <w:p w14:paraId="3122DFE7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electrolytes, etc. If discarded indiscriminately, they can contaminate soil, water sources, and even pose a </w:t>
      </w:r>
    </w:p>
    <w:p w14:paraId="21E188F5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threat to human health through the food chain. The following is an explanation of environmental </w:t>
      </w:r>
    </w:p>
    <w:p w14:paraId="00EF5B94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protection measures for waste batteries: </w:t>
      </w:r>
    </w:p>
    <w:p w14:paraId="1787CF77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1. Classification collection </w:t>
      </w:r>
    </w:p>
    <w:p w14:paraId="05AF8853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Rechargeable batteries (such as nickel cadmium, nickel hydrogen, lithium-ion batteries): containing </w:t>
      </w:r>
    </w:p>
    <w:p w14:paraId="7929FADE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heavy metals or harmful substances, must be recycled. </w:t>
      </w:r>
    </w:p>
    <w:p w14:paraId="22A48310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2. Recycling channels </w:t>
      </w:r>
    </w:p>
    <w:p w14:paraId="268F013B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Community recycling points: Some communities have dedicated recycling bins for waste batteries. </w:t>
      </w:r>
    </w:p>
    <w:p w14:paraId="4B077E26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Supermarkets/shopping malls: Some electronic product stores (such as Suning and Xiaomi Home) </w:t>
      </w:r>
    </w:p>
    <w:p w14:paraId="22F85E34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provide recycling services. </w:t>
      </w:r>
    </w:p>
    <w:p w14:paraId="0E08414E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Electronic waste treatment center: You can inquire about legitimate recycling institutions through the </w:t>
      </w:r>
    </w:p>
    <w:p w14:paraId="27642F3F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local environmental protection department. </w:t>
      </w:r>
    </w:p>
    <w:p w14:paraId="15BCDB79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3. Safe storage and transportation </w:t>
      </w:r>
    </w:p>
    <w:p w14:paraId="64EDDE35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Anti short circuit: The battery electrodes are taped together to prevent friction and fire. </w:t>
      </w:r>
    </w:p>
    <w:p w14:paraId="0DBC29E8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Leak prevention: Place waste batteries in a sealed container (such as a plastic box) to prevent electrolyte </w:t>
      </w:r>
    </w:p>
    <w:p w14:paraId="7CA9B815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leakage. </w:t>
      </w:r>
    </w:p>
    <w:p w14:paraId="0A33D559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Avoid high temperature and humidity: Store in a cool and dry place, away from flammable materials. </w:t>
      </w:r>
    </w:p>
    <w:p w14:paraId="780912EC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4. Professional processing techniques </w:t>
      </w:r>
    </w:p>
    <w:p w14:paraId="5238D593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Physical sorting: Separating metals and plastics through crushing and magnetic separation. </w:t>
      </w:r>
    </w:p>
    <w:p w14:paraId="27D2B250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Chemical extraction: Recovery of metals such as lead, cadmium, lithium, etc. using acid leaching method. </w:t>
      </w:r>
    </w:p>
    <w:p w14:paraId="764D681E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High temperature melting: Burning organic matter and recovering heavy metals (strict pollution control </w:t>
      </w:r>
    </w:p>
    <w:p w14:paraId="39A2A098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is required). </w:t>
      </w:r>
    </w:p>
    <w:p w14:paraId="0F9BE69A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Harmless landfill: Conduct anti-seepage treatment on waste residues that cannot be recycled. </w:t>
      </w:r>
    </w:p>
    <w:p w14:paraId="122128E6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5. Prohibited behaviors </w:t>
      </w:r>
    </w:p>
    <w:p w14:paraId="65C7228E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FF0000"/>
          <w:kern w:val="0"/>
          <w:sz w:val="20"/>
          <w:szCs w:val="20"/>
          <w:lang w:val="en-US" w:eastAsia="zh-CN" w:bidi="ar"/>
        </w:rPr>
        <w:t>×</w:t>
      </w: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Burning waste batteries (releasing toxic gases). </w:t>
      </w:r>
    </w:p>
    <w:p w14:paraId="71796074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FF0000"/>
          <w:kern w:val="0"/>
          <w:sz w:val="20"/>
          <w:szCs w:val="20"/>
          <w:lang w:val="en-US" w:eastAsia="zh-CN" w:bidi="ar"/>
        </w:rPr>
        <w:t>×</w:t>
      </w: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Disassemble the battery (electrolyte corrodes the skin, lithium is flammable when exposed to water). </w:t>
      </w:r>
    </w:p>
    <w:p w14:paraId="1872C732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FF0000"/>
          <w:kern w:val="0"/>
          <w:sz w:val="20"/>
          <w:szCs w:val="20"/>
          <w:lang w:val="en-US" w:eastAsia="zh-CN" w:bidi="ar"/>
        </w:rPr>
        <w:t>×</w:t>
      </w: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Mixing with ordinary garbage (increasing pollution risk). </w:t>
      </w:r>
    </w:p>
    <w:p w14:paraId="06843570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6. Policies and Regulations </w:t>
      </w:r>
    </w:p>
    <w:p w14:paraId="716BBF12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China: The "Technical Policy for Prevention and Control of Waste Battery Pollution" requires the </w:t>
      </w:r>
    </w:p>
    <w:p w14:paraId="25259AFE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extension of producer responsibility and encourages recycling and reuse. </w:t>
      </w:r>
    </w:p>
    <w:p w14:paraId="342599A0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EU: According to the Battery Directive, the battery recycling rate must be above 45%. </w:t>
      </w:r>
    </w:p>
    <w:p w14:paraId="6933CD8F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USA: Regulated by EPA, each state has strict regulations on lead-acid battery recycling. </w:t>
      </w:r>
    </w:p>
    <w:p w14:paraId="0C55F90F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7. Suggestions for public participation </w:t>
      </w:r>
    </w:p>
    <w:p w14:paraId="46F22815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Purchase low mercury/mercury free batteries and choose rechargeable batteries. </w:t>
      </w:r>
    </w:p>
    <w:p w14:paraId="6287B8FF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Participate in recycling activities initiated by environmental organizations. </w:t>
      </w:r>
    </w:p>
    <w:p w14:paraId="1A779C31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Promote knowledge about battery hazards and encourage community recycling. </w:t>
      </w:r>
    </w:p>
    <w:p w14:paraId="2A7706BD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Tip: The specific handling method may vary depending on regional policies. It is recommended to consult </w:t>
      </w:r>
    </w:p>
    <w:p w14:paraId="0CBCD214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with the local environmental protection department or the "12369" environmental hotline. </w:t>
      </w:r>
    </w:p>
    <w:p w14:paraId="262EC4A2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 xml:space="preserve">Through the above measures, the harm of waste batteries to the environment can be minimized to the </w:t>
      </w:r>
    </w:p>
    <w:p w14:paraId="28DAB829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  <w:t>greatest extent possible, and resource recycling can be promoted.</w:t>
      </w:r>
    </w:p>
    <w:p w14:paraId="0C8DB305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6A860BCE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53D318A7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08DA10AF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072F7521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669B105F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0FEED22F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340CF91F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43E88479">
      <w:pPr>
        <w:keepNext w:val="0"/>
        <w:keepLines w:val="0"/>
        <w:widowControl/>
        <w:suppressLineNumbers w:val="0"/>
        <w:jc w:val="left"/>
        <w:rPr>
          <w:rFonts w:hint="default" w:ascii="Arial" w:hAnsi="Arial" w:eastAsia="宋体" w:cs="Arial"/>
          <w:color w:val="000000"/>
          <w:kern w:val="0"/>
          <w:sz w:val="20"/>
          <w:szCs w:val="20"/>
          <w:lang w:val="en-US" w:eastAsia="zh-CN" w:bidi="ar"/>
        </w:rPr>
      </w:pPr>
    </w:p>
    <w:p w14:paraId="7E285814">
      <w:pPr>
        <w:keepNext w:val="0"/>
        <w:keepLines w:val="0"/>
        <w:widowControl/>
        <w:suppressLineNumbers w:val="0"/>
        <w:jc w:val="center"/>
      </w:pPr>
      <w:r>
        <w:rPr>
          <w:rFonts w:hint="default" w:ascii="Arial" w:hAnsi="Arial" w:eastAsia="宋体" w:cs="Arial"/>
          <w:b/>
          <w:bCs/>
          <w:color w:val="000000"/>
          <w:kern w:val="0"/>
          <w:sz w:val="31"/>
          <w:szCs w:val="31"/>
          <w:lang w:val="en-US" w:eastAsia="zh-CN" w:bidi="ar"/>
        </w:rPr>
        <w:t>EU DECLARATION OF CONFORMITY</w:t>
      </w:r>
    </w:p>
    <w:p w14:paraId="62876F6F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宋体" w:cs="Arial"/>
          <w:b/>
          <w:bCs/>
          <w:color w:val="000000"/>
          <w:kern w:val="0"/>
          <w:sz w:val="19"/>
          <w:szCs w:val="19"/>
          <w:lang w:val="en-US" w:eastAsia="zh-CN" w:bidi="ar"/>
        </w:rPr>
        <w:t>1. Model No., trademark: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5341"/>
        <w:gridCol w:w="5341"/>
      </w:tblGrid>
      <w:tr w14:paraId="3BC21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341" w:type="dxa"/>
          </w:tcPr>
          <w:p w14:paraId="41A98A0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Product Name</w:t>
            </w:r>
          </w:p>
        </w:tc>
        <w:tc>
          <w:tcPr>
            <w:tcW w:w="5341" w:type="dxa"/>
          </w:tcPr>
          <w:p w14:paraId="2856E38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Portable Battery</w:t>
            </w:r>
          </w:p>
        </w:tc>
      </w:tr>
      <w:tr w14:paraId="1C8C1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341" w:type="dxa"/>
          </w:tcPr>
          <w:p w14:paraId="02AF2D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Model Name</w:t>
            </w:r>
          </w:p>
        </w:tc>
        <w:tc>
          <w:tcPr>
            <w:tcW w:w="5341" w:type="dxa"/>
          </w:tcPr>
          <w:p w14:paraId="5DE3F7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602040</w:t>
            </w:r>
          </w:p>
        </w:tc>
      </w:tr>
    </w:tbl>
    <w:p w14:paraId="1A4A2C6B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ascii="Arial" w:hAnsi="Arial" w:eastAsia="宋体" w:cs="Arial"/>
          <w:b/>
          <w:bCs/>
          <w:color w:val="000000"/>
          <w:kern w:val="0"/>
          <w:sz w:val="19"/>
          <w:szCs w:val="19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color w:val="000000"/>
          <w:kern w:val="0"/>
          <w:sz w:val="19"/>
          <w:szCs w:val="19"/>
          <w:lang w:val="en-US" w:eastAsia="zh-CN" w:bidi="ar"/>
        </w:rPr>
        <w:t>Name and address of the manufacturer: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1"/>
        <w:gridCol w:w="5341"/>
      </w:tblGrid>
      <w:tr w14:paraId="6216E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1" w:type="dxa"/>
          </w:tcPr>
          <w:p w14:paraId="6763926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Name of the manufacturer</w:t>
            </w:r>
          </w:p>
        </w:tc>
        <w:tc>
          <w:tcPr>
            <w:tcW w:w="5341" w:type="dxa"/>
          </w:tcPr>
          <w:p w14:paraId="7C7038B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cs="宋体"/>
                <w:kern w:val="0"/>
              </w:rPr>
              <w:t>Tanghe Fenglong Electronic Technology Co., Ltd.</w:t>
            </w:r>
          </w:p>
        </w:tc>
      </w:tr>
      <w:tr w14:paraId="4E3DB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1" w:type="dxa"/>
          </w:tcPr>
          <w:p w14:paraId="07BF5F0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sz w:val="18"/>
                <w:szCs w:val="18"/>
              </w:rPr>
              <w:t>Address</w:t>
            </w:r>
          </w:p>
        </w:tc>
        <w:tc>
          <w:tcPr>
            <w:tcW w:w="5341" w:type="dxa"/>
          </w:tcPr>
          <w:p w14:paraId="4CB674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sz w:val="18"/>
                <w:szCs w:val="18"/>
              </w:rPr>
              <w:t>NO.4 Ding gang Street Shang tun Town Tang he County Nanyang City Henan Province</w:t>
            </w:r>
          </w:p>
        </w:tc>
      </w:tr>
    </w:tbl>
    <w:p w14:paraId="16DC502B">
      <w:pPr>
        <w:keepNext w:val="0"/>
        <w:keepLines w:val="0"/>
        <w:widowControl/>
        <w:suppressLineNumbers w:val="0"/>
        <w:jc w:val="both"/>
      </w:pPr>
      <w:r>
        <w:rPr>
          <w:rFonts w:hint="default" w:ascii="Arial" w:hAnsi="Arial" w:eastAsia="宋体" w:cs="Arial"/>
          <w:b/>
          <w:bCs/>
          <w:color w:val="000000"/>
          <w:kern w:val="0"/>
          <w:sz w:val="19"/>
          <w:szCs w:val="19"/>
          <w:lang w:val="en-US" w:eastAsia="zh-CN" w:bidi="ar"/>
        </w:rPr>
        <w:t>3. This declaration of conformity is issued under the sole responsibility of the manufacturer.</w:t>
      </w:r>
    </w:p>
    <w:p w14:paraId="2C926B8A">
      <w:pPr>
        <w:keepNext w:val="0"/>
        <w:keepLines w:val="0"/>
        <w:widowControl/>
        <w:suppressLineNumbers w:val="0"/>
        <w:jc w:val="both"/>
        <w:rPr>
          <w:vertAlign w:val="baseline"/>
        </w:rPr>
      </w:pPr>
      <w:r>
        <w:rPr>
          <w:rFonts w:hint="default" w:ascii="Arial" w:hAnsi="Arial" w:eastAsia="宋体" w:cs="Arial"/>
          <w:b/>
          <w:bCs/>
          <w:color w:val="000000"/>
          <w:kern w:val="0"/>
          <w:sz w:val="19"/>
          <w:szCs w:val="19"/>
          <w:lang w:val="en-US" w:eastAsia="zh-CN" w:bidi="ar"/>
        </w:rPr>
        <w:t>4. Object of the declaration: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5341"/>
        <w:gridCol w:w="5341"/>
      </w:tblGrid>
      <w:tr w14:paraId="09A84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341" w:type="dxa"/>
          </w:tcPr>
          <w:p w14:paraId="5F9AC726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Product</w:t>
            </w:r>
          </w:p>
        </w:tc>
        <w:tc>
          <w:tcPr>
            <w:tcW w:w="5341" w:type="dxa"/>
          </w:tcPr>
          <w:p w14:paraId="49F4B574">
            <w:pPr>
              <w:keepNext w:val="0"/>
              <w:keepLines w:val="0"/>
              <w:widowControl/>
              <w:suppressLineNumbers w:val="0"/>
              <w:jc w:val="both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Rechargeable Li-ion Battery</w:t>
            </w:r>
          </w:p>
        </w:tc>
      </w:tr>
      <w:tr w14:paraId="23F33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341" w:type="dxa"/>
          </w:tcPr>
          <w:p w14:paraId="7F2CA2E8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Ratings and principal characteristics</w:t>
            </w:r>
          </w:p>
        </w:tc>
        <w:tc>
          <w:tcPr>
            <w:tcW w:w="5341" w:type="dxa"/>
          </w:tcPr>
          <w:p w14:paraId="1A29E55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400mAh 3.7V </w:t>
            </w:r>
          </w:p>
        </w:tc>
      </w:tr>
      <w:tr w14:paraId="12577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341" w:type="dxa"/>
          </w:tcPr>
          <w:p w14:paraId="3E122827"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color w:val="101214"/>
                <w:kern w:val="0"/>
                <w:sz w:val="19"/>
                <w:szCs w:val="19"/>
                <w:lang w:val="en-US" w:eastAsia="zh-CN" w:bidi="ar"/>
              </w:rPr>
              <w:t>Photo</w:t>
            </w:r>
          </w:p>
        </w:tc>
        <w:tc>
          <w:tcPr>
            <w:tcW w:w="5341" w:type="dxa"/>
          </w:tcPr>
          <w:p w14:paraId="0F881647">
            <w:pPr>
              <w:keepNext w:val="0"/>
              <w:keepLines w:val="0"/>
              <w:widowControl/>
              <w:suppressLineNumbers w:val="0"/>
              <w:jc w:val="both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N/A</w:t>
            </w:r>
          </w:p>
        </w:tc>
      </w:tr>
    </w:tbl>
    <w:p w14:paraId="673227DA">
      <w:pPr>
        <w:keepNext w:val="0"/>
        <w:keepLines w:val="0"/>
        <w:widowControl/>
        <w:suppressLineNumbers w:val="0"/>
        <w:jc w:val="center"/>
      </w:pPr>
      <w:r>
        <w:rPr>
          <w:rFonts w:hint="default" w:ascii="Arial" w:hAnsi="Arial" w:eastAsia="宋体" w:cs="Arial"/>
          <w:b/>
          <w:bCs/>
          <w:color w:val="000000"/>
          <w:kern w:val="0"/>
          <w:sz w:val="19"/>
          <w:szCs w:val="19"/>
          <w:lang w:val="en-US" w:eastAsia="zh-CN" w:bidi="ar"/>
        </w:rPr>
        <w:t>5. We herewith declare that the above mentioned products meet the provisions of the battery regulation</w:t>
      </w:r>
    </w:p>
    <w:p w14:paraId="502D3D25">
      <w:pPr>
        <w:keepNext w:val="0"/>
        <w:keepLines w:val="0"/>
        <w:widowControl/>
        <w:suppressLineNumbers w:val="0"/>
        <w:jc w:val="center"/>
      </w:pPr>
      <w:r>
        <w:rPr>
          <w:rFonts w:hint="default" w:ascii="Arial" w:hAnsi="Arial" w:eastAsia="宋体" w:cs="Arial"/>
          <w:b/>
          <w:bCs/>
          <w:color w:val="000000"/>
          <w:kern w:val="0"/>
          <w:sz w:val="19"/>
          <w:szCs w:val="19"/>
          <w:lang w:val="en-US" w:eastAsia="zh-CN" w:bidi="ar"/>
        </w:rPr>
        <w:t>(EU) 2023/1542 .The CE mark as shown below can be used , under the responsibility of the</w:t>
      </w:r>
    </w:p>
    <w:p w14:paraId="58846C1A">
      <w:pPr>
        <w:keepNext w:val="0"/>
        <w:keepLines w:val="0"/>
        <w:widowControl/>
        <w:suppressLineNumbers w:val="0"/>
        <w:jc w:val="center"/>
      </w:pPr>
      <w:r>
        <w:rPr>
          <w:rFonts w:hint="default" w:ascii="Arial" w:hAnsi="Arial" w:eastAsia="宋体" w:cs="Arial"/>
          <w:b/>
          <w:bCs/>
          <w:color w:val="000000"/>
          <w:kern w:val="0"/>
          <w:sz w:val="19"/>
          <w:szCs w:val="19"/>
          <w:lang w:val="en-US" w:eastAsia="zh-CN" w:bidi="ar"/>
        </w:rPr>
        <w:t>Manufacturer after completion of an EU Declaration of Conformity and compliance with all relevant</w:t>
      </w:r>
    </w:p>
    <w:p w14:paraId="69550CE3">
      <w:pPr>
        <w:keepNext w:val="0"/>
        <w:keepLines w:val="0"/>
        <w:widowControl/>
        <w:suppressLineNumbers w:val="0"/>
        <w:jc w:val="center"/>
        <w:rPr>
          <w:rFonts w:hint="default" w:ascii="Arial" w:hAnsi="Arial" w:eastAsia="宋体" w:cs="Arial"/>
          <w:b/>
          <w:bCs/>
          <w:color w:val="000000"/>
          <w:kern w:val="0"/>
          <w:sz w:val="19"/>
          <w:szCs w:val="19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color w:val="000000"/>
          <w:kern w:val="0"/>
          <w:sz w:val="19"/>
          <w:szCs w:val="19"/>
          <w:lang w:val="en-US" w:eastAsia="zh-CN" w:bidi="ar"/>
        </w:rPr>
        <w:t>EU Directives and regulations.</w:t>
      </w:r>
    </w:p>
    <w:p w14:paraId="4471F89E">
      <w:pPr>
        <w:keepNext w:val="0"/>
        <w:keepLines w:val="0"/>
        <w:widowControl/>
        <w:suppressLineNumbers w:val="0"/>
        <w:jc w:val="center"/>
        <w:rPr>
          <w:rFonts w:hint="default" w:ascii="Arial" w:hAnsi="Arial" w:eastAsia="宋体" w:cs="Arial"/>
          <w:b/>
          <w:bCs/>
          <w:color w:val="000000"/>
          <w:kern w:val="0"/>
          <w:sz w:val="19"/>
          <w:szCs w:val="19"/>
          <w:lang w:val="en-US" w:eastAsia="zh-CN" w:bidi="ar"/>
        </w:rPr>
      </w:pPr>
      <w:r>
        <w:drawing>
          <wp:inline distT="0" distB="0" distL="114300" distR="114300">
            <wp:extent cx="1724025" cy="8858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6B268">
      <w:pPr>
        <w:keepNext w:val="0"/>
        <w:keepLines w:val="0"/>
        <w:widowControl/>
        <w:suppressLineNumbers w:val="0"/>
        <w:jc w:val="center"/>
        <w:rPr>
          <w:rFonts w:hint="default" w:ascii="Arial" w:hAnsi="Arial" w:eastAsia="宋体" w:cs="Arial"/>
          <w:b/>
          <w:bCs/>
          <w:color w:val="000000"/>
          <w:kern w:val="0"/>
          <w:sz w:val="19"/>
          <w:szCs w:val="19"/>
          <w:lang w:val="en-US" w:eastAsia="zh-CN" w:bidi="ar"/>
        </w:rPr>
      </w:pPr>
    </w:p>
    <w:p w14:paraId="666040F4">
      <w:pPr>
        <w:keepNext w:val="0"/>
        <w:keepLines w:val="0"/>
        <w:widowControl/>
        <w:suppressLineNumbers w:val="0"/>
        <w:jc w:val="both"/>
      </w:pPr>
      <w:r>
        <w:rPr>
          <w:rFonts w:hint="default" w:ascii="Arial" w:hAnsi="Arial" w:eastAsia="宋体" w:cs="Arial"/>
          <w:b/>
          <w:bCs/>
          <w:color w:val="000000"/>
          <w:kern w:val="0"/>
          <w:sz w:val="19"/>
          <w:szCs w:val="19"/>
          <w:lang w:val="en-US" w:eastAsia="zh-CN" w:bidi="ar"/>
        </w:rPr>
        <w:t xml:space="preserve">Signature: </w:t>
      </w:r>
      <w:r>
        <w:rPr>
          <w:rFonts w:hint="eastAsia" w:ascii="Arial" w:hAnsi="Arial" w:eastAsia="宋体" w:cs="Arial"/>
          <w:color w:val="000000"/>
          <w:kern w:val="0"/>
          <w:sz w:val="19"/>
          <w:szCs w:val="19"/>
          <w:lang w:val="en-US" w:eastAsia="zh-CN" w:bidi="ar"/>
        </w:rPr>
        <w:t>zhousong</w:t>
      </w:r>
    </w:p>
    <w:p w14:paraId="0D9E06A1">
      <w:pPr>
        <w:keepNext w:val="0"/>
        <w:keepLines w:val="0"/>
        <w:widowControl/>
        <w:suppressLineNumbers w:val="0"/>
        <w:jc w:val="both"/>
      </w:pPr>
      <w:r>
        <w:rPr>
          <w:rFonts w:hint="default" w:ascii="Arial" w:hAnsi="Arial" w:eastAsia="宋体" w:cs="Arial"/>
          <w:b/>
          <w:bCs/>
          <w:color w:val="000000"/>
          <w:kern w:val="0"/>
          <w:sz w:val="19"/>
          <w:szCs w:val="19"/>
          <w:lang w:val="en-US" w:eastAsia="zh-CN" w:bidi="ar"/>
        </w:rPr>
        <w:t>Printed name:</w:t>
      </w:r>
      <w:r>
        <w:rPr>
          <w:rFonts w:cs="宋体"/>
          <w:kern w:val="0"/>
        </w:rPr>
        <w:t>Tanghe Fenglong Electronic Technology Co., Ltd.</w:t>
      </w:r>
    </w:p>
    <w:p w14:paraId="3E638723">
      <w:pPr>
        <w:keepNext w:val="0"/>
        <w:keepLines w:val="0"/>
        <w:widowControl/>
        <w:suppressLineNumbers w:val="0"/>
        <w:jc w:val="both"/>
      </w:pPr>
      <w:r>
        <w:rPr>
          <w:rFonts w:hint="default" w:ascii="Arial" w:hAnsi="Arial" w:eastAsia="宋体" w:cs="Arial"/>
          <w:b/>
          <w:bCs/>
          <w:color w:val="000000"/>
          <w:kern w:val="0"/>
          <w:sz w:val="19"/>
          <w:szCs w:val="19"/>
          <w:lang w:val="en-US" w:eastAsia="zh-CN" w:bidi="ar"/>
        </w:rPr>
        <w:t xml:space="preserve">Position: </w:t>
      </w:r>
      <w:r>
        <w:rPr>
          <w:sz w:val="18"/>
          <w:szCs w:val="18"/>
        </w:rPr>
        <w:t>NO.4 Ding gang Street Shang tun Town Tang he County Nanyang City Henan Province</w:t>
      </w:r>
    </w:p>
    <w:p w14:paraId="1723B5AA">
      <w:pPr>
        <w:keepNext w:val="0"/>
        <w:keepLines w:val="0"/>
        <w:widowControl/>
        <w:suppressLineNumbers w:val="0"/>
        <w:jc w:val="both"/>
        <w:rPr>
          <w:rFonts w:hint="default"/>
          <w:lang w:val="en-US"/>
        </w:rPr>
      </w:pPr>
      <w:r>
        <w:rPr>
          <w:rFonts w:hint="default" w:ascii="Arial" w:hAnsi="Arial" w:eastAsia="宋体" w:cs="Arial"/>
          <w:b/>
          <w:bCs/>
          <w:color w:val="000000"/>
          <w:kern w:val="0"/>
          <w:sz w:val="19"/>
          <w:szCs w:val="19"/>
          <w:lang w:val="en-US" w:eastAsia="zh-CN" w:bidi="ar"/>
        </w:rPr>
        <w:t xml:space="preserve">Place and date of issue: </w:t>
      </w:r>
      <w:r>
        <w:rPr>
          <w:rFonts w:hint="default" w:ascii="Arial" w:hAnsi="Arial" w:eastAsia="宋体" w:cs="Arial"/>
          <w:color w:val="000000"/>
          <w:kern w:val="0"/>
          <w:sz w:val="19"/>
          <w:szCs w:val="19"/>
          <w:lang w:val="en-US" w:eastAsia="zh-CN" w:bidi="ar"/>
        </w:rPr>
        <w:t>2026-</w:t>
      </w:r>
      <w:r>
        <w:rPr>
          <w:rFonts w:hint="eastAsia" w:ascii="Arial" w:hAnsi="Arial" w:eastAsia="宋体" w:cs="Arial"/>
          <w:color w:val="000000"/>
          <w:kern w:val="0"/>
          <w:sz w:val="19"/>
          <w:szCs w:val="19"/>
          <w:lang w:val="en-US" w:eastAsia="zh-CN" w:bidi="ar"/>
        </w:rPr>
        <w:t>8-14</w:t>
      </w:r>
    </w:p>
    <w:p w14:paraId="1C448AA1">
      <w:pPr>
        <w:keepNext w:val="0"/>
        <w:keepLines w:val="0"/>
        <w:widowControl/>
        <w:suppressLineNumbers w:val="0"/>
        <w:jc w:val="center"/>
        <w:rPr>
          <w:rFonts w:hint="default" w:ascii="Arial" w:hAnsi="Arial" w:eastAsia="宋体" w:cs="Arial"/>
          <w:color w:val="000000"/>
          <w:kern w:val="0"/>
          <w:sz w:val="18"/>
          <w:szCs w:val="18"/>
          <w:lang w:val="en-US" w:eastAsia="zh-CN" w:bidi="ar"/>
        </w:rPr>
      </w:pPr>
    </w:p>
    <w:p w14:paraId="3B201D94">
      <w:pPr>
        <w:keepNext w:val="0"/>
        <w:keepLines w:val="0"/>
        <w:widowControl/>
        <w:suppressLineNumbers w:val="0"/>
        <w:jc w:val="center"/>
        <w:rPr>
          <w:rFonts w:hint="default" w:ascii="Arial" w:hAnsi="Arial" w:eastAsia="宋体" w:cs="Arial"/>
          <w:color w:val="000000"/>
          <w:kern w:val="0"/>
          <w:sz w:val="18"/>
          <w:szCs w:val="18"/>
          <w:lang w:val="en-US" w:eastAsia="zh-CN" w:bidi="ar"/>
        </w:rPr>
      </w:pPr>
    </w:p>
    <w:p w14:paraId="59E607AD">
      <w:pPr>
        <w:keepNext w:val="0"/>
        <w:keepLines w:val="0"/>
        <w:widowControl/>
        <w:suppressLineNumbers w:val="0"/>
        <w:jc w:val="center"/>
        <w:rPr>
          <w:rFonts w:hint="default" w:ascii="Arial" w:hAnsi="Arial" w:eastAsia="宋体" w:cs="Arial"/>
          <w:color w:val="000000"/>
          <w:kern w:val="0"/>
          <w:sz w:val="18"/>
          <w:szCs w:val="18"/>
          <w:lang w:val="en-US" w:eastAsia="zh-CN" w:bidi="ar"/>
        </w:rPr>
      </w:pPr>
    </w:p>
    <w:p w14:paraId="0476E54E">
      <w:pPr>
        <w:keepNext w:val="0"/>
        <w:keepLines w:val="0"/>
        <w:widowControl/>
        <w:suppressLineNumbers w:val="0"/>
        <w:jc w:val="center"/>
        <w:rPr>
          <w:rFonts w:cs="宋体"/>
          <w:kern w:val="0"/>
        </w:rPr>
      </w:pPr>
      <w:r>
        <w:rPr>
          <w:rFonts w:cs="宋体"/>
          <w:kern w:val="0"/>
        </w:rPr>
        <w:t>Tanghe Fenglong Electronic Technology Co., Ltd.</w:t>
      </w:r>
    </w:p>
    <w:p w14:paraId="689BF359">
      <w:pPr>
        <w:keepNext w:val="0"/>
        <w:keepLines w:val="0"/>
        <w:widowControl/>
        <w:suppressLineNumbers w:val="0"/>
        <w:jc w:val="center"/>
        <w:rPr>
          <w:sz w:val="18"/>
          <w:szCs w:val="18"/>
        </w:rPr>
      </w:pPr>
      <w:r>
        <w:rPr>
          <w:sz w:val="18"/>
          <w:szCs w:val="18"/>
        </w:rPr>
        <w:t>NO.4 Ding gang Street Shang tun Town Tang he County Nanyang City Henan Province</w:t>
      </w:r>
    </w:p>
    <w:p w14:paraId="3926D1B7">
      <w:pPr>
        <w:keepNext w:val="0"/>
        <w:keepLines w:val="0"/>
        <w:widowControl/>
        <w:suppressLineNumbers w:val="0"/>
        <w:jc w:val="center"/>
      </w:pPr>
      <w:r>
        <w:rPr>
          <w:rFonts w:hint="default" w:ascii="Arial" w:hAnsi="Arial" w:eastAsia="宋体" w:cs="Arial"/>
          <w:color w:val="000000"/>
          <w:kern w:val="0"/>
          <w:sz w:val="18"/>
          <w:szCs w:val="18"/>
          <w:lang w:val="en-US" w:eastAsia="zh-CN" w:bidi="ar"/>
        </w:rPr>
        <w:t>China</w:t>
      </w:r>
      <w:r>
        <w:rPr>
          <w:rFonts w:hint="eastAsia"/>
          <w:sz w:val="18"/>
          <w:szCs w:val="18"/>
        </w:rPr>
        <w:t>Tel.</w:t>
      </w:r>
      <w:r>
        <w:rPr>
          <w:rFonts w:hint="default" w:ascii="Arial" w:hAnsi="Arial" w:eastAsia="宋体" w:cs="Arial"/>
          <w:color w:val="000000"/>
          <w:kern w:val="0"/>
          <w:sz w:val="18"/>
          <w:szCs w:val="18"/>
          <w:lang w:val="en-US" w:eastAsia="zh-CN" w:bidi="ar"/>
        </w:rPr>
        <w:t xml:space="preserve"> </w:t>
      </w:r>
      <w:r>
        <w:rPr>
          <w:rFonts w:hint="eastAsia" w:ascii="Arial" w:hAnsi="Arial" w:eastAsia="宋体" w:cs="Arial"/>
          <w:color w:val="000000"/>
          <w:kern w:val="0"/>
          <w:sz w:val="18"/>
          <w:szCs w:val="18"/>
          <w:lang w:val="en-US" w:eastAsia="zh-CN" w:bidi="ar"/>
        </w:rPr>
        <w:t xml:space="preserve">18701516231  </w:t>
      </w:r>
      <w:r>
        <w:rPr>
          <w:rFonts w:hint="eastAsia"/>
          <w:sz w:val="18"/>
          <w:szCs w:val="18"/>
        </w:rPr>
        <w:t xml:space="preserve">Website: </w:t>
      </w:r>
      <w:r>
        <w:rPr>
          <w:sz w:val="18"/>
          <w:szCs w:val="18"/>
        </w:rPr>
        <w:t>www.fenglongny.com</w:t>
      </w:r>
    </w:p>
    <w:p w14:paraId="3EF62F9A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C8AB3F"/>
    <w:multiLevelType w:val="singleLevel"/>
    <w:tmpl w:val="EFC8AB3F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D700B"/>
    <w:rsid w:val="566D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2026-08-14T11:27:00Z</dcterms:created>
  <dc:creator>周</dc:creator>
  <cp:lastModifiedBy>周</cp:lastModifiedBy>
  <dcterms:modified xsi:type="dcterms:W3CDTF">2026-08-14T11:57:08Z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389599E603C84C84A42AE4B9F4B153DC_11</vt:lpwstr>
  </property>
  <property fmtid="{D5CDD505-2E9C-101B-9397-08002B2CF9AE}" pid="4" name="KSOTemplateDocerSaveRecord">
    <vt:lpwstr>eyJoZGlkIjoiMjJkZjU4MzFlZDljYjQzYjgzZDEzNDlmMDdlMzhhNTkiLCJ1c2VySWQiOiIzNzAyNjM5NDUifQ==</vt:lpwstr>
  </property>
</Properties>
</file>